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C9" w:rsidRPr="004E266E" w:rsidRDefault="009C72C9" w:rsidP="004E266E">
      <w:pPr>
        <w:ind w:left="120"/>
        <w:jc w:val="both"/>
        <w:rPr>
          <w:rFonts w:ascii="Times New Roman" w:hAnsi="Times New Roman"/>
          <w:sz w:val="24"/>
          <w:szCs w:val="24"/>
        </w:rPr>
      </w:pPr>
    </w:p>
    <w:p w:rsidR="009C72C9" w:rsidRPr="000B1079" w:rsidRDefault="009C72C9" w:rsidP="000B1079">
      <w:pPr>
        <w:pStyle w:val="Heading2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0B1079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XXV/172</w:t>
      </w:r>
      <w:r w:rsidRPr="000B1079">
        <w:rPr>
          <w:rFonts w:ascii="Times New Roman" w:hAnsi="Times New Roman"/>
          <w:sz w:val="24"/>
          <w:szCs w:val="24"/>
        </w:rPr>
        <w:t>/2013</w:t>
      </w:r>
      <w:r w:rsidRPr="000B1079">
        <w:rPr>
          <w:rFonts w:ascii="Times New Roman" w:hAnsi="Times New Roman"/>
          <w:sz w:val="24"/>
          <w:szCs w:val="24"/>
        </w:rPr>
        <w:br/>
        <w:t>RADY GMINY ZŁAWIEŚ WIELKA</w:t>
      </w:r>
      <w:r w:rsidRPr="000B1079">
        <w:rPr>
          <w:rFonts w:ascii="Times New Roman" w:hAnsi="Times New Roman"/>
          <w:sz w:val="24"/>
          <w:szCs w:val="24"/>
        </w:rPr>
        <w:br/>
        <w:t>z dnia 18 kwietnia 2013 r.</w:t>
      </w:r>
    </w:p>
    <w:p w:rsidR="009C72C9" w:rsidRPr="000B1079" w:rsidRDefault="009C72C9" w:rsidP="00947C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9C72C9" w:rsidRPr="000B1079" w:rsidRDefault="009C72C9" w:rsidP="00947CEE">
      <w:pPr>
        <w:rPr>
          <w:rFonts w:ascii="Times New Roman" w:hAnsi="Times New Roman"/>
          <w:b/>
          <w:sz w:val="24"/>
          <w:szCs w:val="24"/>
        </w:rPr>
      </w:pPr>
      <w:r w:rsidRPr="000B1079">
        <w:rPr>
          <w:rFonts w:ascii="Times New Roman" w:hAnsi="Times New Roman"/>
          <w:b/>
          <w:sz w:val="24"/>
          <w:szCs w:val="24"/>
        </w:rPr>
        <w:t xml:space="preserve">w sprawie sprzedaży nieruchomości gruntowych położonych w miejscowości Czarne Błoto, będących </w:t>
      </w:r>
      <w:r>
        <w:rPr>
          <w:rFonts w:ascii="Times New Roman" w:hAnsi="Times New Roman"/>
          <w:b/>
          <w:sz w:val="24"/>
          <w:szCs w:val="24"/>
        </w:rPr>
        <w:t>własnością Gminy Zławieś Wielka</w:t>
      </w:r>
      <w:r w:rsidRPr="000B1079">
        <w:rPr>
          <w:rFonts w:ascii="Times New Roman" w:hAnsi="Times New Roman"/>
          <w:b/>
          <w:sz w:val="24"/>
          <w:szCs w:val="24"/>
        </w:rPr>
        <w:br/>
      </w: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0B1079">
      <w:pPr>
        <w:jc w:val="both"/>
        <w:rPr>
          <w:rFonts w:ascii="Times New Roman" w:hAnsi="Times New Roman"/>
        </w:rPr>
      </w:pPr>
      <w:r w:rsidRPr="000B1079">
        <w:rPr>
          <w:rFonts w:ascii="Times New Roman" w:hAnsi="Times New Roman"/>
        </w:rPr>
        <w:t>Na podstawie art. 18 ust. 2 pkt 9 lit. a ustawy z dnia 8 marca 1990 r. o samorządzie gminnym (Dz. U. z 2001 r. Nr 142, poz. 1591 ze zm.</w:t>
      </w:r>
      <w:r>
        <w:rPr>
          <w:rFonts w:ascii="Times New Roman" w:hAnsi="Times New Roman"/>
        </w:rPr>
        <w:t>¹</w:t>
      </w:r>
      <w:r w:rsidRPr="000B1079">
        <w:rPr>
          <w:rFonts w:ascii="Times New Roman" w:hAnsi="Times New Roman"/>
        </w:rPr>
        <w:t xml:space="preserve">) oraz art. 13 ust. 1 ustawy z dnia 21 sierpnia </w:t>
      </w:r>
      <w:r w:rsidRPr="000B1079">
        <w:rPr>
          <w:rFonts w:ascii="Times New Roman" w:hAnsi="Times New Roman"/>
        </w:rPr>
        <w:br/>
        <w:t>1997 r. o gospodarce nieruchomościami (Dz. U. z</w:t>
      </w:r>
      <w:r>
        <w:rPr>
          <w:rFonts w:ascii="Times New Roman" w:hAnsi="Times New Roman"/>
        </w:rPr>
        <w:t xml:space="preserve"> 2010 r. Nr 102, poz. 651 ze zm²</w:t>
      </w:r>
      <w:r w:rsidRPr="000B1079">
        <w:rPr>
          <w:rFonts w:ascii="Times New Roman" w:hAnsi="Times New Roman"/>
        </w:rPr>
        <w:t xml:space="preserve">) </w:t>
      </w:r>
    </w:p>
    <w:p w:rsidR="009C72C9" w:rsidRPr="000B1079" w:rsidRDefault="009C72C9" w:rsidP="000B10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uchwala się, co następuje:</w:t>
      </w:r>
      <w:r w:rsidRPr="000B1079">
        <w:rPr>
          <w:rFonts w:ascii="Times New Roman" w:hAnsi="Times New Roman"/>
        </w:rPr>
        <w:br/>
      </w:r>
      <w:r w:rsidRPr="000B1079">
        <w:rPr>
          <w:rFonts w:ascii="Times New Roman" w:hAnsi="Times New Roman"/>
        </w:rPr>
        <w:br/>
      </w: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Wyraża się zgodę na sprzedaż nieruchomości gruntowych położonych w miejscowości Czarne Błoto, oznaczonych geodezyjnie jako działki nr: 444/2 o pow. </w:t>
      </w:r>
      <w:smartTag w:uri="urn:schemas-microsoft-com:office:smarttags" w:element="metricconverter">
        <w:smartTagPr>
          <w:attr w:name="ProductID" w:val="0,1100 ha"/>
        </w:smartTagPr>
        <w:r>
          <w:rPr>
            <w:rFonts w:ascii="Times New Roman" w:hAnsi="Times New Roman"/>
            <w:sz w:val="24"/>
            <w:szCs w:val="24"/>
          </w:rPr>
          <w:t>0,1100 ha</w:t>
        </w:r>
      </w:smartTag>
      <w:r>
        <w:rPr>
          <w:rFonts w:ascii="Times New Roman" w:hAnsi="Times New Roman"/>
          <w:sz w:val="24"/>
          <w:szCs w:val="24"/>
        </w:rPr>
        <w:t xml:space="preserve">, KW Nr  TO1T/00004659/2, dz. 409/4 o pow. </w:t>
      </w:r>
      <w:smartTag w:uri="urn:schemas-microsoft-com:office:smarttags" w:element="metricconverter">
        <w:smartTagPr>
          <w:attr w:name="ProductID" w:val="0,1200 ha"/>
        </w:smartTagPr>
        <w:r>
          <w:rPr>
            <w:rFonts w:ascii="Times New Roman" w:hAnsi="Times New Roman"/>
            <w:sz w:val="24"/>
            <w:szCs w:val="24"/>
          </w:rPr>
          <w:t>0,1200 ha</w:t>
        </w:r>
      </w:smartTag>
      <w:r>
        <w:rPr>
          <w:rFonts w:ascii="Times New Roman" w:hAnsi="Times New Roman"/>
          <w:sz w:val="24"/>
          <w:szCs w:val="24"/>
        </w:rPr>
        <w:t xml:space="preserve">, KW Nr TO1T/00112617/6, stanowiących  własność Gminy Zławieś Wielka.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 2.  Wykonanie uchwały powierza się Wójtowi Gminy Zławieś Wielka.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 3.  Uchwała wchodzi w życie z dniem podjęcia.  </w:t>
      </w:r>
      <w:r>
        <w:rPr>
          <w:rFonts w:ascii="Times New Roman" w:hAnsi="Times New Roman"/>
          <w:sz w:val="24"/>
          <w:szCs w:val="24"/>
        </w:rPr>
        <w:tab/>
      </w: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4E266E">
      <w:pPr>
        <w:pStyle w:val="FootnoteText"/>
        <w:jc w:val="both"/>
      </w:pPr>
      <w:r w:rsidRPr="00DB77C1">
        <w:rPr>
          <w:rStyle w:val="FootnoteReference"/>
          <w:rFonts w:ascii="Times New Roman" w:hAnsi="Times New Roman"/>
        </w:rPr>
        <w:footnoteRef/>
      </w:r>
      <w:r w:rsidRPr="00DB77C1">
        <w:rPr>
          <w:rFonts w:ascii="Times New Roman" w:hAnsi="Times New Roman"/>
        </w:rPr>
        <w:t xml:space="preserve"> Zmiany tekstu jednolitego wymienionej ustawy zostały ogłoszone w Dz. U. z 2002 r. Nr 23, poz. 220, Nr 62, poz. 558, Nr 113, poz. 984, Nr 153, poz. 1271 i Nr 214, poz. 1806, z 2003 r. Nr 80, poz. 717, Nr 162, poz. 1568, zm. z 2004 r. Nr 102, poz. 1055, Nr 116, poz. 1203, Nr 167, poz. 1759, zm. z 2005 r. Nr 172, poz. 1441, Nr 175, poz. 1457, zm. z 2006 r. Nr 17, poz. 128, Nr 181, poz. 1337, zm. z 2007 r. Nr 48, poz. 327, Nr 138, poz. 974, Nr 173, poz. 1218, zm. z 2008 r. Nr 180, poz. 1111, Nr 223, poz. 1458, zm. z 2009 r. Nr 52, poz. 420, Nr 157, poz. 1241, zm. z 2010 r. Nr 28, poz. 142 i 146, Nr 40, poz. 230, Nr 106, poz. 675, zm. z 2011 r. Nr 21, poz. 113, Nr 117, poz. 679, Nr 134, poz. 777, Nr 149, poz. 887, Nr 217, poz. 1281, z 2012 r. poz. 567 z 2013 r. poz.153.</w:t>
      </w:r>
    </w:p>
    <w:p w:rsidR="009C72C9" w:rsidRPr="00DB77C1" w:rsidRDefault="009C72C9" w:rsidP="004E266E">
      <w:pPr>
        <w:pStyle w:val="FootnoteText"/>
        <w:jc w:val="both"/>
        <w:rPr>
          <w:rFonts w:ascii="Times New Roman" w:hAnsi="Times New Roman"/>
        </w:rPr>
      </w:pPr>
      <w:r w:rsidRPr="00DB77C1">
        <w:rPr>
          <w:rStyle w:val="FootnoteReference"/>
          <w:rFonts w:ascii="Times New Roman" w:hAnsi="Times New Roman"/>
        </w:rPr>
        <w:footnoteRef/>
      </w:r>
      <w:r w:rsidRPr="00DB77C1">
        <w:rPr>
          <w:rFonts w:ascii="Times New Roman" w:hAnsi="Times New Roman"/>
        </w:rPr>
        <w:t xml:space="preserve">  Zmiany tekstu jednolitego wymienionej ustawy zostały ogłoszone w Dz. U. z 2010 r. Nr 106, poz. 675, Nr 143, </w:t>
      </w:r>
      <w:r>
        <w:rPr>
          <w:rFonts w:ascii="Times New Roman" w:hAnsi="Times New Roman"/>
        </w:rPr>
        <w:t>poz</w:t>
      </w:r>
      <w:r w:rsidRPr="00DB77C1">
        <w:rPr>
          <w:rFonts w:ascii="Times New Roman" w:hAnsi="Times New Roman"/>
        </w:rPr>
        <w:t xml:space="preserve">. 963, </w:t>
      </w:r>
      <w:r>
        <w:rPr>
          <w:rFonts w:ascii="Times New Roman" w:hAnsi="Times New Roman"/>
        </w:rPr>
        <w:t>Nr</w:t>
      </w:r>
      <w:r w:rsidRPr="00DB77C1">
        <w:rPr>
          <w:rFonts w:ascii="Times New Roman" w:hAnsi="Times New Roman"/>
        </w:rPr>
        <w:t xml:space="preserve"> 155, poz. 1043, </w:t>
      </w:r>
      <w:r>
        <w:rPr>
          <w:rFonts w:ascii="Times New Roman" w:hAnsi="Times New Roman"/>
        </w:rPr>
        <w:t>Nr</w:t>
      </w:r>
      <w:r w:rsidRPr="00DB77C1">
        <w:rPr>
          <w:rFonts w:ascii="Times New Roman" w:hAnsi="Times New Roman"/>
        </w:rPr>
        <w:t xml:space="preserve"> 197, </w:t>
      </w:r>
      <w:r>
        <w:rPr>
          <w:rFonts w:ascii="Times New Roman" w:hAnsi="Times New Roman"/>
        </w:rPr>
        <w:t>poz</w:t>
      </w:r>
      <w:r w:rsidRPr="00DB77C1">
        <w:rPr>
          <w:rFonts w:ascii="Times New Roman" w:hAnsi="Times New Roman"/>
        </w:rPr>
        <w:t>. 1307,</w:t>
      </w:r>
      <w:r>
        <w:rPr>
          <w:rFonts w:ascii="Times New Roman" w:hAnsi="Times New Roman"/>
        </w:rPr>
        <w:t xml:space="preserve"> </w:t>
      </w:r>
      <w:r w:rsidRPr="00DB77C1">
        <w:rPr>
          <w:rFonts w:ascii="Times New Roman" w:hAnsi="Times New Roman"/>
        </w:rPr>
        <w:t>Nr 200, poz. 1323, z 2011 r. Nr 64, poz. 341, Nr 106, poz. 622, Nr 115, poz. 673,</w:t>
      </w:r>
      <w:r>
        <w:rPr>
          <w:rFonts w:ascii="Times New Roman" w:hAnsi="Times New Roman"/>
        </w:rPr>
        <w:t xml:space="preserve"> </w:t>
      </w:r>
      <w:r w:rsidRPr="00DB77C1">
        <w:rPr>
          <w:rFonts w:ascii="Times New Roman" w:hAnsi="Times New Roman"/>
        </w:rPr>
        <w:t>Nr 129, poz. 732,</w:t>
      </w:r>
      <w:r>
        <w:rPr>
          <w:rFonts w:ascii="Times New Roman" w:hAnsi="Times New Roman"/>
        </w:rPr>
        <w:t xml:space="preserve"> </w:t>
      </w:r>
      <w:r w:rsidRPr="00DB77C1">
        <w:rPr>
          <w:rFonts w:ascii="Times New Roman" w:hAnsi="Times New Roman"/>
        </w:rPr>
        <w:t>Nr 130, poz. 762,</w:t>
      </w:r>
      <w:r>
        <w:rPr>
          <w:rFonts w:ascii="Times New Roman" w:hAnsi="Times New Roman"/>
        </w:rPr>
        <w:t xml:space="preserve"> </w:t>
      </w:r>
      <w:r w:rsidRPr="00DB77C1">
        <w:rPr>
          <w:rFonts w:ascii="Times New Roman" w:hAnsi="Times New Roman"/>
        </w:rPr>
        <w:t>Nr 135, poz. 789,</w:t>
      </w:r>
      <w:r>
        <w:rPr>
          <w:rFonts w:ascii="Times New Roman" w:hAnsi="Times New Roman"/>
        </w:rPr>
        <w:t xml:space="preserve"> </w:t>
      </w:r>
      <w:r w:rsidRPr="00DB77C1">
        <w:rPr>
          <w:rFonts w:ascii="Times New Roman" w:hAnsi="Times New Roman"/>
        </w:rPr>
        <w:t>Nr 163, poz. 981,</w:t>
      </w:r>
      <w:r>
        <w:rPr>
          <w:rFonts w:ascii="Times New Roman" w:hAnsi="Times New Roman"/>
        </w:rPr>
        <w:t xml:space="preserve"> </w:t>
      </w:r>
      <w:r w:rsidRPr="00DB77C1">
        <w:rPr>
          <w:rFonts w:ascii="Times New Roman" w:hAnsi="Times New Roman"/>
        </w:rPr>
        <w:t xml:space="preserve">Nr 187, poz. 1110, </w:t>
      </w:r>
      <w:r>
        <w:rPr>
          <w:rFonts w:ascii="Times New Roman" w:hAnsi="Times New Roman"/>
        </w:rPr>
        <w:t>Nr</w:t>
      </w:r>
      <w:r w:rsidRPr="00DB77C1">
        <w:rPr>
          <w:rFonts w:ascii="Times New Roman" w:hAnsi="Times New Roman"/>
        </w:rPr>
        <w:t xml:space="preserve"> 224, poz. 1337, z 2012 r. poz. 908, poz. 951, 1256, 1429, 1529.</w:t>
      </w: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Default="009C72C9" w:rsidP="00CD1F09">
      <w:pPr>
        <w:jc w:val="both"/>
        <w:rPr>
          <w:rFonts w:ascii="Times New Roman" w:hAnsi="Times New Roman"/>
          <w:sz w:val="24"/>
          <w:szCs w:val="24"/>
        </w:rPr>
      </w:pPr>
    </w:p>
    <w:p w:rsidR="009C72C9" w:rsidRPr="000B1079" w:rsidRDefault="009C72C9" w:rsidP="004E2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79">
        <w:rPr>
          <w:rFonts w:ascii="Times New Roman" w:hAnsi="Times New Roman"/>
          <w:b/>
          <w:sz w:val="24"/>
          <w:szCs w:val="24"/>
        </w:rPr>
        <w:t>UZASADNIENIE</w:t>
      </w:r>
    </w:p>
    <w:p w:rsidR="009C72C9" w:rsidRPr="000B1079" w:rsidRDefault="009C72C9" w:rsidP="004E2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79">
        <w:rPr>
          <w:rFonts w:ascii="Times New Roman" w:hAnsi="Times New Roman"/>
          <w:b/>
          <w:sz w:val="24"/>
          <w:szCs w:val="24"/>
        </w:rPr>
        <w:t xml:space="preserve">do Uchwały Nr </w:t>
      </w:r>
      <w:r>
        <w:rPr>
          <w:rFonts w:ascii="Times New Roman" w:hAnsi="Times New Roman"/>
          <w:b/>
          <w:sz w:val="24"/>
          <w:szCs w:val="24"/>
        </w:rPr>
        <w:t>XXV/172</w:t>
      </w:r>
      <w:r w:rsidRPr="000B1079">
        <w:rPr>
          <w:rFonts w:ascii="Times New Roman" w:hAnsi="Times New Roman"/>
          <w:b/>
          <w:sz w:val="24"/>
          <w:szCs w:val="24"/>
        </w:rPr>
        <w:t>/2013</w:t>
      </w:r>
    </w:p>
    <w:p w:rsidR="009C72C9" w:rsidRPr="000B1079" w:rsidRDefault="009C72C9" w:rsidP="004E2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79">
        <w:rPr>
          <w:rFonts w:ascii="Times New Roman" w:hAnsi="Times New Roman"/>
          <w:b/>
          <w:sz w:val="24"/>
          <w:szCs w:val="24"/>
        </w:rPr>
        <w:t>Rady Gminy Zławieś Wielka</w:t>
      </w:r>
    </w:p>
    <w:p w:rsidR="009C72C9" w:rsidRPr="000B1079" w:rsidRDefault="009C72C9" w:rsidP="004E2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79">
        <w:rPr>
          <w:rFonts w:ascii="Times New Roman" w:hAnsi="Times New Roman"/>
          <w:b/>
          <w:sz w:val="24"/>
          <w:szCs w:val="24"/>
        </w:rPr>
        <w:t>z dnia 18 kwietnia  2013 r.</w:t>
      </w:r>
    </w:p>
    <w:p w:rsidR="009C72C9" w:rsidRDefault="009C72C9" w:rsidP="004E266E">
      <w:pPr>
        <w:rPr>
          <w:rFonts w:ascii="Times New Roman" w:hAnsi="Times New Roman"/>
          <w:b/>
          <w:sz w:val="24"/>
          <w:szCs w:val="24"/>
        </w:rPr>
      </w:pPr>
    </w:p>
    <w:p w:rsidR="009C72C9" w:rsidRPr="006977C6" w:rsidRDefault="009C72C9" w:rsidP="004E266E">
      <w:pPr>
        <w:spacing w:after="0" w:line="360" w:lineRule="auto"/>
        <w:ind w:lef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Gmina nabyła z mocy prawa nieruchomości gruntowe należące do Skarbu Państwa na podstawie przepisu art. 13 ust. 2 i 4 ustawy z dnia 19 października 1991 r. o gospodarowaniu nieruchomościami rolnymi Skarbu Państwa (Dz. U. z 2007 r. Nr 231, poz. 1700 z  późn. zm.) jako działki nr: </w:t>
      </w:r>
      <w:r w:rsidRPr="002E3C68">
        <w:rPr>
          <w:rFonts w:ascii="Times New Roman" w:hAnsi="Times New Roman"/>
          <w:b/>
          <w:sz w:val="24"/>
          <w:szCs w:val="24"/>
        </w:rPr>
        <w:t>444/2</w:t>
      </w:r>
      <w:r>
        <w:rPr>
          <w:rFonts w:ascii="Times New Roman" w:hAnsi="Times New Roman"/>
          <w:sz w:val="24"/>
          <w:szCs w:val="24"/>
        </w:rPr>
        <w:t xml:space="preserve"> o pow. </w:t>
      </w:r>
      <w:smartTag w:uri="urn:schemas-microsoft-com:office:smarttags" w:element="metricconverter">
        <w:smartTagPr>
          <w:attr w:name="ProductID" w:val="0,1100 ha"/>
        </w:smartTagPr>
        <w:r>
          <w:rPr>
            <w:rFonts w:ascii="Times New Roman" w:hAnsi="Times New Roman"/>
            <w:sz w:val="24"/>
            <w:szCs w:val="24"/>
          </w:rPr>
          <w:t>0,1100 ha</w:t>
        </w:r>
      </w:smartTag>
      <w:r>
        <w:rPr>
          <w:rFonts w:ascii="Times New Roman" w:hAnsi="Times New Roman"/>
          <w:sz w:val="24"/>
          <w:szCs w:val="24"/>
        </w:rPr>
        <w:t xml:space="preserve">, KW Nr  TO1T/00004659/2, dz. </w:t>
      </w:r>
      <w:r w:rsidRPr="002E3C68">
        <w:rPr>
          <w:rFonts w:ascii="Times New Roman" w:hAnsi="Times New Roman"/>
          <w:b/>
          <w:sz w:val="24"/>
          <w:szCs w:val="24"/>
        </w:rPr>
        <w:t>409/4</w:t>
      </w:r>
      <w:r>
        <w:rPr>
          <w:rFonts w:ascii="Times New Roman" w:hAnsi="Times New Roman"/>
          <w:sz w:val="24"/>
          <w:szCs w:val="24"/>
        </w:rPr>
        <w:t xml:space="preserve"> o pow. </w:t>
      </w:r>
      <w:smartTag w:uri="urn:schemas-microsoft-com:office:smarttags" w:element="metricconverter">
        <w:smartTagPr>
          <w:attr w:name="ProductID" w:val="0,1200 ha"/>
        </w:smartTagPr>
        <w:r>
          <w:rPr>
            <w:rFonts w:ascii="Times New Roman" w:hAnsi="Times New Roman"/>
            <w:sz w:val="24"/>
            <w:szCs w:val="24"/>
          </w:rPr>
          <w:t>0,1200 ha</w:t>
        </w:r>
      </w:smartTag>
      <w:r>
        <w:rPr>
          <w:rFonts w:ascii="Times New Roman" w:hAnsi="Times New Roman"/>
          <w:sz w:val="24"/>
          <w:szCs w:val="24"/>
        </w:rPr>
        <w:t xml:space="preserve">, KW Nr TO1T/00112617/6. Powyższe nieruchomości stanowią tereny rolne </w:t>
      </w:r>
      <w:r>
        <w:rPr>
          <w:rFonts w:ascii="Times New Roman" w:hAnsi="Times New Roman"/>
          <w:sz w:val="24"/>
          <w:szCs w:val="24"/>
        </w:rPr>
        <w:br/>
        <w:t>o użytku grunty orne oraz pastwiska, które</w:t>
      </w:r>
      <w:r w:rsidRPr="00F06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były przekazane w trwały zarząd Rolniczej Spółdzielni Produkcyjnej im. Stanisława Staszica w Górsku, decyzją Naczelnika Gminy w Złejwsi Wielkiej w 1976 r. i w 1980 r.  Po ogłoszeniu upadłości RSP, Starosta Toruński działający w imieniu Skarbu Państwa  stwierdził wygaśnięcie powyższych decyzji  jako bezprzedmiotowych wydając decyzje: z dnia 11 kwietnia 2011 r. sygn. akt: GGN. 6850.1.7.2011BA,</w:t>
      </w:r>
      <w:r w:rsidRPr="0062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z 19 kwietnia 2011 r. GGN. 6850.1.6.2011BA. Na mocy ww. przepisów gmina z mocy prawa przejęła powyższe nieruchomości do zasobu gminnego. Biorąc pod uwagę powyższe, zasadnym jest przeznaczenie nieruchomości gruntowych stanowiących tereny rolne do sprzedaży w formie przetargu.   </w:t>
      </w:r>
    </w:p>
    <w:p w:rsidR="009C72C9" w:rsidRDefault="009C72C9" w:rsidP="004E2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sectPr w:rsidR="009C72C9" w:rsidSect="004E266E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C9" w:rsidRDefault="009C72C9" w:rsidP="00907BFA">
      <w:pPr>
        <w:spacing w:after="0" w:line="240" w:lineRule="auto"/>
      </w:pPr>
      <w:r>
        <w:separator/>
      </w:r>
    </w:p>
  </w:endnote>
  <w:endnote w:type="continuationSeparator" w:id="0">
    <w:p w:rsidR="009C72C9" w:rsidRDefault="009C72C9" w:rsidP="0090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C9" w:rsidRDefault="009C72C9" w:rsidP="00907BFA">
      <w:pPr>
        <w:spacing w:after="0" w:line="240" w:lineRule="auto"/>
      </w:pPr>
      <w:r>
        <w:separator/>
      </w:r>
    </w:p>
  </w:footnote>
  <w:footnote w:type="continuationSeparator" w:id="0">
    <w:p w:rsidR="009C72C9" w:rsidRDefault="009C72C9" w:rsidP="0090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B48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7C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04A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942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262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9E7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69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C61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DED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D48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EE"/>
    <w:rsid w:val="00033113"/>
    <w:rsid w:val="000B1079"/>
    <w:rsid w:val="000D1AF4"/>
    <w:rsid w:val="000F7355"/>
    <w:rsid w:val="0017786A"/>
    <w:rsid w:val="002A3AC4"/>
    <w:rsid w:val="002B69D7"/>
    <w:rsid w:val="002E3C68"/>
    <w:rsid w:val="00340FF3"/>
    <w:rsid w:val="00386D0A"/>
    <w:rsid w:val="003C3CB3"/>
    <w:rsid w:val="003C5EBD"/>
    <w:rsid w:val="003E53A8"/>
    <w:rsid w:val="0049393C"/>
    <w:rsid w:val="004D0C25"/>
    <w:rsid w:val="004E266E"/>
    <w:rsid w:val="00581629"/>
    <w:rsid w:val="00593141"/>
    <w:rsid w:val="00597F01"/>
    <w:rsid w:val="005A5064"/>
    <w:rsid w:val="005C6FA1"/>
    <w:rsid w:val="005F4558"/>
    <w:rsid w:val="00622D4C"/>
    <w:rsid w:val="006240CC"/>
    <w:rsid w:val="0064024F"/>
    <w:rsid w:val="006439A1"/>
    <w:rsid w:val="00693133"/>
    <w:rsid w:val="00695B2F"/>
    <w:rsid w:val="006977C6"/>
    <w:rsid w:val="007037AA"/>
    <w:rsid w:val="008F6FE4"/>
    <w:rsid w:val="00900E8E"/>
    <w:rsid w:val="00907BFA"/>
    <w:rsid w:val="00947CEE"/>
    <w:rsid w:val="009C72C9"/>
    <w:rsid w:val="00A35B65"/>
    <w:rsid w:val="00A97D24"/>
    <w:rsid w:val="00AA4480"/>
    <w:rsid w:val="00B055F2"/>
    <w:rsid w:val="00B4434A"/>
    <w:rsid w:val="00B82669"/>
    <w:rsid w:val="00B842A9"/>
    <w:rsid w:val="00B910F7"/>
    <w:rsid w:val="00BC3986"/>
    <w:rsid w:val="00BD5157"/>
    <w:rsid w:val="00BF32A8"/>
    <w:rsid w:val="00C47F9C"/>
    <w:rsid w:val="00C948D6"/>
    <w:rsid w:val="00CA5AED"/>
    <w:rsid w:val="00CC001E"/>
    <w:rsid w:val="00CD1F09"/>
    <w:rsid w:val="00CF14B8"/>
    <w:rsid w:val="00D866F1"/>
    <w:rsid w:val="00D94183"/>
    <w:rsid w:val="00DB77C1"/>
    <w:rsid w:val="00DE0614"/>
    <w:rsid w:val="00E13182"/>
    <w:rsid w:val="00E16FD8"/>
    <w:rsid w:val="00E62956"/>
    <w:rsid w:val="00E85FC7"/>
    <w:rsid w:val="00EE09BC"/>
    <w:rsid w:val="00F061F8"/>
    <w:rsid w:val="00F12F82"/>
    <w:rsid w:val="00F315B7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A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B1079"/>
    <w:pPr>
      <w:keepNext/>
      <w:spacing w:after="0" w:line="240" w:lineRule="auto"/>
      <w:jc w:val="both"/>
      <w:outlineLvl w:val="1"/>
    </w:pPr>
    <w:rPr>
      <w:rFonts w:ascii="Arial" w:hAnsi="Arial"/>
      <w:b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07B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7BF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07BF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07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7BF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7BF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0B1079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478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Krzysztof</dc:creator>
  <cp:keywords/>
  <dc:description/>
  <cp:lastModifiedBy>Sylwia Suduł</cp:lastModifiedBy>
  <cp:revision>3</cp:revision>
  <cp:lastPrinted>2013-04-25T06:01:00Z</cp:lastPrinted>
  <dcterms:created xsi:type="dcterms:W3CDTF">2013-04-26T07:47:00Z</dcterms:created>
  <dcterms:modified xsi:type="dcterms:W3CDTF">2013-04-30T07:15:00Z</dcterms:modified>
</cp:coreProperties>
</file>